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p>
    <w:bookmarkStart w:id="20" w:name="overview"/>
    <w:p>
      <w:pPr>
        <w:pStyle w:val="Heading2"/>
      </w:pPr>
      <w:r>
        <w:rPr>
          <w:rStyle w:val="SectionNumber"/>
        </w:rPr>
        <w:t xml:space="preserve">1</w:t>
      </w:r>
      <w:r>
        <w:tab/>
      </w:r>
      <w:r>
        <w:t xml:space="preserve">Overview</w:t>
      </w:r>
    </w:p>
    <w:bookmarkEnd w:id="20"/>
    <w:bookmarkStart w:id="24" w:name="inventários-florestais-simulados"/>
    <w:p>
      <w:pPr>
        <w:pStyle w:val="Heading2"/>
      </w:pPr>
      <w:r>
        <w:rPr>
          <w:rStyle w:val="SectionNumber"/>
        </w:rPr>
        <w:t xml:space="preserve">2</w:t>
      </w:r>
      <w:r>
        <w:tab/>
      </w:r>
      <w:r>
        <w:t xml:space="preserve">Inventários Florestais Simulados</w:t>
      </w:r>
    </w:p>
    <w:p>
      <w:pPr>
        <w:pStyle w:val="FirstParagraph"/>
      </w:pPr>
      <w:r>
        <w:t xml:space="preserve">Dos sítios presentes na base de dados TreeCo, 109 estavam dentro dos critérios de seleção (tabela SI 1). As coordenadas dos sítios variaram entre -31° e -7° de latitude e entre -55° e -35° de longitude (fig. </w:t>
      </w:r>
      <w:r>
        <w:t xml:space="preserve">??</w:t>
      </w:r>
      <w:r>
        <w:t xml:space="preserve"> </w:t>
      </w:r>
      <w:r>
        <w:t xml:space="preserve">a). A maioria dos trabalhos foi realizada em áreas de florestas classificadas como primárias no TreeCo. Apenas 2 sítios possuíam menos de 20 anos de recuperação desde o último grande distúrbio na área e foram removidos (fig. </w:t>
      </w:r>
      <w:r>
        <w:t xml:space="preserve">??</w:t>
      </w:r>
      <w:r>
        <w:t xml:space="preserve"> </w:t>
      </w:r>
      <w:r>
        <w:t xml:space="preserve">c), resultando em 107 sítios. A mediana da área amostrada foi de 1 ha; o número de indivíduos amostrados mediano foi de 1540 indivíduos; a riqueza observada mediana foi de 107 espécies; e o ano de amostragem ou publicação variou entre 1986 e 2016 (fig. </w:t>
      </w:r>
      <w:r>
        <w:t xml:space="preserve">??</w:t>
      </w:r>
      <w:r>
        <w:t xml:space="preserve"> </w:t>
      </w:r>
      <w:r>
        <w:t xml:space="preserve">b). Portanto, todos os 107 sítios possuem paisagens contemporâneas na base de mapas de cobertura vegetal do mapbiomas 6. Não foi possível estimar a taxa U em um sítio com baixa densidade de espécies por número de indivíduos e de baixa proporção de cobertura vegetal na paisagem ao redor (SI). Em outro sítio não foi possível desenhar a parcela quadrado no centro da paisagem devido a configuração espacial da paisagem (SI). Esses dois sítios foram removidos, totalizando 105 sítios simulados.</w:t>
      </w:r>
    </w:p>
    <w:p>
      <w:pPr>
        <w:pStyle w:val="CaptionedFigure"/>
      </w:pPr>
      <w:r>
        <w:drawing>
          <wp:inline>
            <wp:extent cx="5334000" cy="4445000"/>
            <wp:effectExtent b="0" l="0" r="0" t="0"/>
            <wp:docPr descr="(#fig:pring GE dados disponiveis)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 title="" id="22" name="Picture"/>
            <a:graphic>
              <a:graphicData uri="http://schemas.openxmlformats.org/drawingml/2006/picture">
                <pic:pic>
                  <pic:nvPicPr>
                    <pic:cNvPr descr="./figuras/GE_dados_disponiveis.png" id="23" name="Picture"/>
                    <pic:cNvPicPr>
                      <a:picLocks noChangeArrowheads="1" noChangeAspect="1"/>
                    </pic:cNvPicPr>
                  </pic:nvPicPr>
                  <pic:blipFill>
                    <a:blip r:embed="rId2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(#fig:pring GE dados disponiveis)Sítios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w:t>
      </w:r>
    </w:p>
    <w:bookmarkEnd w:id="24"/>
    <w:bookmarkStart w:id="30" w:name="X62951be99fd8482c134d1ea10c5d725b4aea0e9"/>
    <w:p>
      <w:pPr>
        <w:pStyle w:val="Heading2"/>
      </w:pPr>
      <w:r>
        <w:rPr>
          <w:rStyle w:val="SectionNumber"/>
        </w:rPr>
        <w:t xml:space="preserve">3</w:t>
      </w:r>
      <w:r>
        <w:tab/>
      </w:r>
      <w:r>
        <w:t xml:space="preserve">Efeito escalar da dispersão no mecanismo simulado</w:t>
      </w:r>
    </w:p>
    <w:p>
      <w:pPr>
        <w:pStyle w:val="FirstParagraph"/>
      </w:pPr>
      <w:r>
        <w:t xml:space="preserve">O objetivo dessa análise foi avaliar qual a extensão espacial da paisagem é suficiente para simular cada um dos 20 graus de simulação explorados. Foram sorteados 36 sítios entre os 109 sítios dentro dos critérios de seleção do TreeCo, na figura X há um resumo das características dos sítios usados na investigação do efeito escalar da dispersão.</w:t>
      </w:r>
      <w:r>
        <w:t xml:space="preserve"> </w:t>
      </w:r>
      <w:r>
        <w:t xml:space="preserve">Usando a paisagem prístina desses 36 sítios, foi estimado a taxa U variando de 0.5 km até 16 km de lado da paisagem. Primeiro avaliamos se o padrão da estimativa da taxa U em paisagens com lado 16 km se assemelha ao estimado em paisagens infintas e portanto pode ser usado como uma referência de taxa U sem influência da extensão espacial da paisagem. Então usamos um modelo linear misto para descrever como a média da estimativa U entre sítios variou em função do grau de limitação de dispersão e da extensão espacial da paisagem. Usando esses modelo avaliamos a menor extensão espacial em que a taxa U é próxima da taxa U estimada na paisagem de 16km de lado.</w:t>
      </w:r>
    </w:p>
    <w:tbl>
      <w:tblPr>
        <w:tblStyle w:val="FigureTable"/>
        <w:tblW w:type="auto" w:w="0"/>
        <w:jc w:val="center"/>
        <w:tblLook w:firstRow="0" w:lastRow="0" w:firstColumn="0" w:lastColumn="0"/>
      </w:tblPr>
      <w:tblGrid>
        <w:gridCol w:w="7920"/>
      </w:tblGrid>
      <w:tr>
        <w:tc>
          <w:tcPr/>
          <w:p>
            <w:pPr>
              <w:pStyle w:val="Compact"/>
              <w:jc w:val="center"/>
            </w:pPr>
            <w:bookmarkStart w:id="25" w:name="fig:sitios-efeito-escalar"/>
            <w:bookmarkEnd w:id="25"/>
            <w:r>
              <w:t xml:space="preserve">Figure 1: O log do número de indivíduos (eixo x) e o número de espécies (eixo y). Os pontos estão preenchidos pela razão do número de espécies e número de indivíduos (S/N) e o tamanho dos pontos é determinado pela densidade de indivíduos na amostra (número de indivíduos dividido pela área da parcela, DA).</w:t>
            </w:r>
          </w:p>
        </w:tc>
      </w:tr>
    </w:tbl>
    <w:p>
      <w:pPr>
        <w:pStyle w:val="ImageCaption"/>
      </w:pPr>
      <w:bookmarkStart w:id="26" w:name="fig:sitios-efeito-escalar"/>
      <w:bookmarkEnd w:id="26"/>
      <w:r>
        <w:t xml:space="preserve">Figure 1: O log do número de indivíduos (eixo x) e o número de espécies (eixo y). Os pontos estão preenchidos pela razão do número de espécies e número de indivíduos (S/N) e o tamanho dos pontos é determinado pela densidade de indivíduos na amostra (número de indivíduos dividido pela área da parcela, DA).</w:t>
      </w:r>
    </w:p>
    <w:bookmarkStart w:id="27" w:name="Xb4a31818fcdc49534e8651e3cee1a614b12f1b3"/>
    <w:p>
      <w:pPr>
        <w:pStyle w:val="Heading3"/>
      </w:pPr>
      <w:r>
        <w:rPr>
          <w:rStyle w:val="SectionNumber"/>
        </w:rPr>
        <w:t xml:space="preserve">3.1</w:t>
      </w:r>
      <w:r>
        <w:tab/>
      </w:r>
      <w:r>
        <w:t xml:space="preserve">Estimativa da taxa U na maior extensão espacial da paisagem simulada</w:t>
      </w:r>
    </w:p>
    <w:tbl>
      <w:tblPr>
        <w:tblStyle w:val="FigureTable"/>
        <w:tblW w:type="auto" w:w="0"/>
        <w:jc w:val="center"/>
        <w:tblLook w:firstRow="0" w:lastRow="0" w:firstColumn="0" w:lastColumn="0"/>
      </w:tblPr>
      <w:tblGrid>
        <w:gridCol w:w="7920"/>
      </w:tblGrid>
      <w:tr>
        <w:tc>
          <w:tcPr/>
          <w:p>
            <w:pPr>
              <w:pStyle w:val="Compact"/>
              <w:jc w:val="center"/>
            </w:pPr>
            <w:r>
              <w:t xml:space="preserve">(#fig:Unull16km_rep)Taxa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w:t>
            </w:r>
          </w:p>
        </w:tc>
      </w:tr>
    </w:tbl>
    <w:p>
      <w:pPr>
        <w:pStyle w:val="ImageCaption"/>
      </w:pPr>
      <w:r>
        <w:t xml:space="preserve">(#fig:Unull16km_rep)Taxa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w:t>
      </w:r>
    </w:p>
    <w:p>
      <w:pPr>
        <w:pStyle w:val="BodyText"/>
      </w:pPr>
      <w:r>
        <w:t xml:space="preserve">A média dos sítios de amostragem simulados na paisagem prístina com maior extensão espacial (16 km de lado) é similar ao esperado em paisagens infinitas ()</w:t>
      </w:r>
    </w:p>
    <w:tbl>
      <w:tblPr>
        <w:tblStyle w:val="FigureTable"/>
        <w:tblW w:type="auto" w:w="0"/>
        <w:jc w:val="center"/>
        <w:tblLook w:firstRow="0" w:lastRow="0" w:firstColumn="0" w:lastColumn="0"/>
      </w:tblPr>
      <w:tblGrid>
        <w:gridCol w:w="7920"/>
      </w:tblGrid>
      <w:tr>
        <w:tc>
          <w:tcPr/>
          <w:p>
            <w:pPr>
              <w:pStyle w:val="Compact"/>
              <w:jc w:val="center"/>
            </w:pPr>
            <w:r>
              <w:t xml:space="preserve">(#fig:Uprist16km_site)Taxa U estimada em paisagens prístina de lado 16 km, separado por sítio de amostragem. Em cada quadro o eixo y é livre para variar em escala.</w:t>
            </w:r>
          </w:p>
        </w:tc>
      </w:tr>
    </w:tbl>
    <w:p>
      <w:pPr>
        <w:pStyle w:val="ImageCaption"/>
      </w:pPr>
      <w:r>
        <w:t xml:space="preserve">(#fig:Uprist16km_site)Taxa U estimada em paisagens prístina de lado 16 km, separado por sítio de amostragem. Em cada quadro o eixo y é livre para variar em escala.</w:t>
      </w:r>
    </w:p>
    <w:p>
      <w:pPr>
        <w:pStyle w:val="BodyText"/>
      </w:pPr>
      <w:r>
        <w:t xml:space="preserve">O padrão por sítio difere do padrão geral da médio, pois a mudança dos valores da taxa U não é sempre continua, pode ocorrer em patamares. Em graus de limitação de dispersão severos a média da taxa U se mantém baixa e com pouca variação entre graus de limitação de dispersão severos, formando um primeiro patamar de valores baixos (Fig Efeito de Escalar 2a e 2b). Com o relaxamento para graus pouco severos, há um salto na média da taxa U, que pode se manter por alguns graus de limitação de dispersão pouco severos (Fig Efeito de Escalar 2a e 2b). Com o maior relaxamento da limitação de dispersão para graus brandos, há a redução gradual da média da taxa U até valores similares ao observado em graus severos de limitação de dispersão (Fig Efeito de Escalar 2a e 2b). O tamanho dos patamares e a forma com que a redução na taxa U ocorre parece depender de uma relação não trivial entre número de indivíduos, número de espécies e grau de limitação de dispersão (figura Efeito de Escalar 2b).</w:t>
      </w:r>
    </w:p>
    <w:bookmarkEnd w:id="27"/>
    <w:bookmarkStart w:id="28" w:name="X2b08900d889ea0e4224bae53afe212e284c3780"/>
    <w:p>
      <w:pPr>
        <w:pStyle w:val="Heading3"/>
      </w:pPr>
      <w:r>
        <w:rPr>
          <w:rStyle w:val="SectionNumber"/>
        </w:rPr>
        <w:t xml:space="preserve">3.2</w:t>
      </w:r>
      <w:r>
        <w:tab/>
      </w:r>
      <w:r>
        <w:t xml:space="preserve">Estimativa da taxa U sob diferentes escalas espaciais da paisagem prístina</w:t>
      </w:r>
    </w:p>
    <w:p>
      <w:pPr>
        <w:pStyle w:val="FirstParagraph"/>
      </w:pPr>
    </w:p>
    <w:bookmarkEnd w:id="28"/>
    <w:bookmarkStart w:id="29" w:name="X506b2d412b412ca5e4045076be78bd1765715d2"/>
    <w:p>
      <w:pPr>
        <w:pStyle w:val="Heading3"/>
      </w:pPr>
      <w:r>
        <w:rPr>
          <w:rStyle w:val="SectionNumber"/>
        </w:rPr>
        <w:t xml:space="preserve">3.3</w:t>
      </w:r>
      <w:r>
        <w:tab/>
      </w:r>
      <w:r>
        <w:t xml:space="preserve">Descrição estatística da relação entre taxa U, grau de limitação de dispersão e extensão espacial da paisagem</w:t>
      </w:r>
    </w:p>
    <w:p>
      <w:pPr>
        <w:pStyle w:val="FirstParagraph"/>
      </w:pPr>
      <w:r>
        <w:t xml:space="preserve">Observamos que a extensão espacial mínima adequada tende a aumentar com a redução da limitação de dispersão (Figura 3), exceto em graus de limitação de dispersão pouco severos, nos valores intermediários simulados (Fig Efeito de Escalar 2a e 2b). Nesses graus de limitação de dispersão intermediários há pouca variação na média da taxa U entre escalas e sempre grande variação entre réplicas de uma mesma bateria de simulações (Fig Efeito de Escalar 2a, A1 2b e A1 4b). Quando a proporção de propágulos que permanece até a vizinhança imediata do progenitor (k) varia entre 0.99 e 0.90, a extensão espacial da paisagem adequada é de 1 km de lado (Figura 3). Para k entre 0.80 e 0.55, que corresponde ao campo de parâmetros com máximo global, não é possível determinar uma tendência de redução da média da estimativa de U (Figura 3); a variação entre escalas para um mesmo sítio é baixa (Figuras Efeito de Escalar 2 e A1 3). Em k entre 0.50 e 0.35 a extensão adequada foi de 1 km de lado; entre 0.30 e 0.20, 2 km de lado; e entre 0.15 e 0.05, 4 km de lado (Figura Efeito de Escalar 5 e 6). Pressuposto que a extensão espacial adequada para simular k entre 0.80 e 0.55 pode ser obtida interpolando as escalas adequadas, então nesses graus de limitação de dispersão a extensão suficiente é de 1 km de lado da paisagem ao redor. Uma vez que a paisagem com 4 km de lado foi suficiente para simular todos os graus de limitação de dispersão todas as simulações serão feitas nessa extensão e tambeḿ o calculo da proporção de cobertura florestal. Não simulamos paisagens com lado de 1 km e 2 km, que foram adequadas para os graus de limitação de dispersão de 0.99 até 0.35 e de 0.35 até 0.20, respectivamente.</w:t>
      </w:r>
    </w:p>
    <w:tbl>
      <w:tblPr>
        <w:tblStyle w:val="FigureTable"/>
        <w:tblW w:type="auto" w:w="0"/>
        <w:jc w:val="center"/>
        <w:tblLook w:firstRow="0" w:lastRow="0" w:firstColumn="0" w:lastColumn="0"/>
      </w:tblPr>
      <w:tblGrid>
        <w:gridCol w:w="7920"/>
      </w:tblGrid>
      <w:tr>
        <w:tc>
          <w:tcPr/>
          <w:p>
            <w:pPr>
              <w:pStyle w:val="Compact"/>
              <w:jc w:val="center"/>
            </w:pPr>
            <w:r>
              <w:t xml:space="preserve">(#fig:figura SoE)A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w:t>
            </w:r>
            <w:r>
              <w:t xml:space="preserve"> </w:t>
            </w:r>
            <w:r>
              <w:t xml:space="preserve">‘</w:t>
            </w:r>
            <w:r>
              <w:t xml:space="preserve">Efeito de Escalar</w:t>
            </w:r>
            <w:r>
              <w:t xml:space="preserve">’</w:t>
            </w:r>
            <w:r>
              <w:t xml:space="preserve">.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w:t>
            </w:r>
          </w:p>
        </w:tc>
      </w:tr>
    </w:tbl>
    <w:p>
      <w:pPr>
        <w:pStyle w:val="ImageCaption"/>
      </w:pPr>
      <w:r>
        <w:t xml:space="preserve">(#fig:figura SoE)A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w:t>
      </w:r>
      <w:r>
        <w:t xml:space="preserve"> </w:t>
      </w:r>
      <w:r>
        <w:t xml:space="preserve">‘</w:t>
      </w:r>
      <w:r>
        <w:t xml:space="preserve">Efeito de Escalar</w:t>
      </w:r>
      <w:r>
        <w:t xml:space="preserve">’</w:t>
      </w:r>
      <w:r>
        <w:t xml:space="preserve">.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w:t>
      </w:r>
    </w:p>
    <w:bookmarkEnd w:id="29"/>
    <w:bookmarkEnd w:id="30"/>
    <w:bookmarkStart w:id="35" w:name="X234dc5c692dea8d94aededd75531be1aefe9d90"/>
    <w:p>
      <w:pPr>
        <w:pStyle w:val="Heading2"/>
      </w:pPr>
      <w:r>
        <w:rPr>
          <w:rStyle w:val="SectionNumber"/>
        </w:rPr>
        <w:t xml:space="preserve">4</w:t>
      </w:r>
      <w:r>
        <w:tab/>
      </w:r>
      <w:r>
        <w:t xml:space="preserve">Práticas ontológicas em disputa coexistindo em um sistema epistêmico contrafactual baseado em indivíduos</w:t>
      </w:r>
    </w:p>
    <w:p>
      <w:pPr>
        <w:pStyle w:val="FirstParagraph"/>
      </w:pPr>
      <w:r>
        <w:t xml:space="preserve">Nessa seção interpretamos e atribuímos os efeitos da paisagem baseado no contraste de simulações em paisagens contrafactuais. Essas simulações são baseadas no mesmo modelo mecanístico, baseado em indivíduos. Nesse modelo mecanístico, à medida que propágulos entram e saem da parcela, a riqueza e a abundância relativa das espécies locais são influenciadas pela paisagem, que determina a quantidade, posição e distância dos progenitores remanescentes. O modelo é calibrado para capturar a influência da paisagem na riqueza de espécies, expressa na taxa U, levando em conta a limitação de dispersão per capita. Essa taxa corresponde à probabilidade de colonização por uma nova espécie na paisagem necessária para atingir a riqueza observada. A validação empírica ocorre pela avaliação da congruência da distribuição de abundância de espécies (SAD) observada e simulada em um particular contrafactual, e, portanto, considera simultaneamente a influência da paisagem na riqueza e abundância relativa da paisagem. Buscamos quantificar os efeitos da paisagem — área per se, fragmentação per se e fragmentação total — como previstos pelas práticas ontológicas em disputa, na congruência da SAD simulada. Para isso, contrastamos pares de contrafactuais, calculando os efeitos causais médios da paisagem na congruência da SAD simulada (REF ABM causal inference). Esses efeitos foram descritos por modelos hierárquicos aditivos generalizados (HGAMs): o log da razão da chance da SAD simulada ter boa congruência (logOR) em função do log da razão da taxa U (log(U/U)) e da proporção de propágulos que permanecem na vizinhança imediata (k). A seguir apresentamos o log(U/U) estimado em função de k, que interpretamos como métrica funcional de conectividade local (</w:t>
      </w:r>
      <w:r>
        <w:t xml:space="preserve">4.1</w:t>
      </w:r>
      <w:r>
        <w:t xml:space="preserve">); e então descrevemos a tendência central dos efeitos da paisagem na congruência da SAD simulada usando modelos hierarquicos (</w:t>
      </w:r>
      <w:r>
        <w:t xml:space="preserve">??</w:t>
      </w:r>
      <w:r>
        <w:t xml:space="preserve">.</w:t>
      </w:r>
    </w:p>
    <w:bookmarkStart w:id="34" w:name="metrica-funcional"/>
    <w:p>
      <w:pPr>
        <w:pStyle w:val="Heading3"/>
      </w:pPr>
      <w:r>
        <w:rPr>
          <w:rStyle w:val="SectionNumber"/>
        </w:rPr>
        <w:t xml:space="preserve">4.1</w:t>
      </w:r>
      <w:r>
        <w:tab/>
      </w:r>
      <w:r>
        <w:t xml:space="preserve">Métrica funcional da influência da paisagem na biodiversidade local</w:t>
      </w:r>
    </w:p>
    <w:p>
      <w:pPr>
        <w:pStyle w:val="FirstParagraph"/>
      </w:pPr>
      <w:r>
        <w:t xml:space="preserve">Aqui interpretamos como métrica de influência da paisagem na biodiversidade local a razão entre a taxa U estimada nas paisagens contrafactuais em contraste.</w:t>
      </w:r>
      <w:r>
        <w:t xml:space="preserve"> </w:t>
      </w:r>
      <w:r>
        <w:t xml:space="preserve">Para um mesmo grau de limitação de dispersão, quanto menor a taxa U necessária para obter a riqueza observada, maior é a reposição simulada de espécies pela imigração de propágulos da paisagem ao redor para a parcela. Assim, se o log da razão das taxa U (logU/U) estimadas nas paisagens contrafactuais em contraste for igual a zero não há diferença entre contrafactuais com relação a reposição de espécies locais pela paisagem. Se for positivo, então a paisagem contrafactual no numerador apresenta taxa U superior; e se for negativo o contrário, o denominador apresenta valor superior.</w:t>
      </w:r>
    </w:p>
    <w:p>
      <w:pPr>
        <w:pStyle w:val="BodyText"/>
      </w:pPr>
      <w:r>
        <w:t xml:space="preserve">Cada razão entre taxa Us representa um previsto efeito da paisagem: área per se, fragmentação per se e fragmentação total.</w:t>
      </w:r>
      <w:r>
        <w:t xml:space="preserve"> </w:t>
      </w:r>
      <w:r>
        <w:t xml:space="preserve">Nos 3 efeitos, a maior parte dos valores de logU/U ocorre na mesma faixa de valores de paisagens com pouca cobertura florestal, porém em paisagens com perda de cobertura florestal logU/U pode aumentar em magnitude se a limitação de dispersão for branda ou muito severa (fig. @ref(fig:GE-contraste_taxaU)). Os valores em paisagens sem perda de cobertura florestal ocorrem ao redor do zero, com valores negativos e positivos (fig. @ref(fig:GE-contraste_taxaU)).</w:t>
      </w:r>
      <w:r>
        <w:t xml:space="preserve"> </w:t>
      </w:r>
      <w:r>
        <w:t xml:space="preserve">O efeito que apresenta menor amplitude de valores é o de área per se, enquanto o efeito de fragmentação total apresenta a maior amplitude (fig. @ref(fig:GE-contraste_taxaU)).</w:t>
      </w:r>
      <w:r>
        <w:t xml:space="preserve"> </w:t>
      </w:r>
      <w:r>
        <w:t xml:space="preserve">Em alguns sítios, o logU/U do efeito de fragmentação per se pode ser menor do que o observado em paisagens sem perda de cobertura florestal (fig. @ref(fig:GE-contraste_taxaU)).</w:t>
      </w:r>
      <w:r>
        <w:br/>
      </w:r>
      <w:r>
        <w:t xml:space="preserve">A amplitude dos valores aumenta com a redução do grau de preservação da área amostrada para todos os 3 efeitos (fig. @ref(fig:GE-contraste_taxaU)).</w:t>
      </w:r>
      <w:r>
        <w:t xml:space="preserve"> </w:t>
      </w:r>
      <w:r>
        <w:t xml:space="preserve">Nos graus de limitação de dispersão pouco severos, onde há o máximo global na estimativa da taxa U em paisagens sem perda de habitat (olhar seção</w:t>
      </w:r>
      <w:r>
        <w:t xml:space="preserve"> </w:t>
      </w:r>
      <w:r>
        <w:t xml:space="preserve">‘</w:t>
      </w:r>
      <w:r>
        <w:t xml:space="preserve">Efeito de Escalar</w:t>
      </w:r>
      <w:r>
        <w:t xml:space="preserve">’</w:t>
      </w:r>
      <w:r>
        <w:t xml:space="preserve">), ocorre a menor variabilidade entre os contrafactuais (fig. @ref(fig:GE-contraste_taxaU)).</w:t>
      </w:r>
    </w:p>
    <w:p>
      <w:pPr>
        <w:pStyle w:val="CaptionedFigure"/>
      </w:pPr>
      <w:r>
        <w:drawing>
          <wp:inline>
            <wp:extent cx="5334000" cy="3733800"/>
            <wp:effectExtent b="0" l="0" r="0" t="0"/>
            <wp:docPr descr="(#fig:GE-contraste_taxaU)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 title="" id="32" name="Picture"/>
            <a:graphic>
              <a:graphicData uri="http://schemas.openxmlformats.org/drawingml/2006/picture">
                <pic:pic>
                  <pic:nvPicPr>
                    <pic:cNvPr descr="./figuras/GE_taxaU_contrastes.png" id="33" name="Picture"/>
                    <pic:cNvPicPr>
                      <a:picLocks noChangeArrowheads="1" noChangeAspect="1"/>
                    </pic:cNvPicPr>
                  </pic:nvPicPr>
                  <pic:blipFill>
                    <a:blip r:embed="rId31"/>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(#fig:GE-contraste_taxaU)Contrastes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w:t>
      </w:r>
    </w:p>
    <w:bookmarkEnd w:id="34"/>
    <w:bookmarkEnd w:id="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dc:title>
  <dc:creator/>
  <cp:keywords/>
  <dcterms:created xsi:type="dcterms:W3CDTF">2024-11-28T21:03:56Z</dcterms:created>
  <dcterms:modified xsi:type="dcterms:W3CDTF">2024-11-28T21:03:56Z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/home/danilo/Documentos/mestrado_Ecologia/artigo_principal/1_to_compile_dissertacao_EM_USO/resources/citations2.bib</vt:lpwstr>
  </property>
  <property fmtid="{D5CDD505-2E9C-101B-9397-08002B2CF9AE}" pid="3" name="csl">
    <vt:lpwstr>/home/danilo/Documentos/mestrado_Ecologia/artigo_principal/1_to_compile_dissertacao_EM_USO/resources/plos.csl</vt:lpwstr>
  </property>
  <property fmtid="{D5CDD505-2E9C-101B-9397-08002B2CF9AE}" pid="4" name="editor_options">
    <vt:lpwstr/>
  </property>
  <property fmtid="{D5CDD505-2E9C-101B-9397-08002B2CF9AE}" pid="5" name="output">
    <vt:lpwstr/>
  </property>
</Properties>
</file>